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ECB08" w14:textId="627E60A8" w:rsidR="003A7E8A" w:rsidRPr="00A02BE4" w:rsidRDefault="00793109" w:rsidP="00441CFE">
      <w:pPr>
        <w:pStyle w:val="Default"/>
        <w:rPr>
          <w:sz w:val="22"/>
          <w:szCs w:val="22"/>
        </w:rPr>
      </w:pPr>
      <w:r w:rsidRPr="00A02BE4">
        <w:rPr>
          <w:sz w:val="22"/>
          <w:szCs w:val="22"/>
        </w:rPr>
        <w:t>Working closely with MSA and GPC executive committees, MU Libraries’ leadership has developed a plan for investing in our libr</w:t>
      </w:r>
      <w:r w:rsidR="00EB7FFC">
        <w:rPr>
          <w:sz w:val="22"/>
          <w:szCs w:val="22"/>
        </w:rPr>
        <w:t>ary system.  This plan includes</w:t>
      </w:r>
      <w:r w:rsidR="002C3F2B">
        <w:rPr>
          <w:sz w:val="22"/>
          <w:szCs w:val="22"/>
        </w:rPr>
        <w:t xml:space="preserve"> </w:t>
      </w:r>
      <w:r w:rsidRPr="00A02BE4">
        <w:rPr>
          <w:sz w:val="22"/>
          <w:szCs w:val="22"/>
        </w:rPr>
        <w:t xml:space="preserve">modernized spaces, </w:t>
      </w:r>
      <w:r w:rsidR="003646F6">
        <w:rPr>
          <w:sz w:val="22"/>
          <w:szCs w:val="22"/>
        </w:rPr>
        <w:t xml:space="preserve">innovative services </w:t>
      </w:r>
      <w:r w:rsidRPr="00A02BE4">
        <w:rPr>
          <w:sz w:val="22"/>
          <w:szCs w:val="22"/>
        </w:rPr>
        <w:t>and expanded collections.  The full proposal is available at</w:t>
      </w:r>
      <w:r w:rsidRPr="005248E5">
        <w:rPr>
          <w:sz w:val="22"/>
          <w:szCs w:val="22"/>
        </w:rPr>
        <w:t xml:space="preserve"> </w:t>
      </w:r>
      <w:hyperlink r:id="rId10" w:history="1">
        <w:r w:rsidR="00441CFE" w:rsidRPr="005248E5">
          <w:rPr>
            <w:rStyle w:val="Hyperlink"/>
            <w:sz w:val="22"/>
            <w:szCs w:val="22"/>
          </w:rPr>
          <w:t>http://library.missouri.edu/yes/</w:t>
        </w:r>
      </w:hyperlink>
      <w:r w:rsidRPr="00A02BE4">
        <w:rPr>
          <w:sz w:val="22"/>
          <w:szCs w:val="22"/>
        </w:rPr>
        <w:t>.</w:t>
      </w:r>
    </w:p>
    <w:p w14:paraId="3D8FDACE" w14:textId="77777777" w:rsidR="00793109" w:rsidRPr="00A02BE4" w:rsidRDefault="00793109">
      <w:pPr>
        <w:rPr>
          <w:sz w:val="22"/>
          <w:szCs w:val="22"/>
        </w:rPr>
      </w:pPr>
    </w:p>
    <w:p w14:paraId="52C9F610" w14:textId="7D5FF133" w:rsidR="008E3DA9" w:rsidRPr="00A02BE4" w:rsidRDefault="00793109" w:rsidP="008E3DA9">
      <w:pPr>
        <w:pStyle w:val="NoSpacing"/>
        <w:rPr>
          <w:sz w:val="22"/>
          <w:szCs w:val="22"/>
        </w:rPr>
      </w:pPr>
      <w:r w:rsidRPr="00962A01">
        <w:rPr>
          <w:b/>
        </w:rPr>
        <w:t>Modernized Spaces</w:t>
      </w:r>
      <w:r w:rsidR="008E3DA9" w:rsidRPr="00962A01">
        <w:rPr>
          <w:b/>
        </w:rPr>
        <w:t>:</w:t>
      </w:r>
      <w:r w:rsidR="008E3DA9" w:rsidRPr="00A02BE4">
        <w:rPr>
          <w:b/>
          <w:sz w:val="22"/>
          <w:szCs w:val="22"/>
        </w:rPr>
        <w:t xml:space="preserve">  </w:t>
      </w:r>
      <w:r w:rsidR="008E3DA9" w:rsidRPr="00A02BE4">
        <w:rPr>
          <w:sz w:val="22"/>
          <w:szCs w:val="22"/>
        </w:rPr>
        <w:t xml:space="preserve">Create </w:t>
      </w:r>
      <w:r w:rsidR="008E3DA9" w:rsidRPr="00A02BE4">
        <w:rPr>
          <w:bCs/>
          <w:sz w:val="22"/>
          <w:szCs w:val="22"/>
        </w:rPr>
        <w:t>inspiring learning</w:t>
      </w:r>
      <w:r w:rsidR="008E3DA9" w:rsidRPr="00A02BE4">
        <w:rPr>
          <w:sz w:val="22"/>
          <w:szCs w:val="22"/>
        </w:rPr>
        <w:t xml:space="preserve"> </w:t>
      </w:r>
      <w:r w:rsidR="008E3DA9" w:rsidRPr="00A02BE4">
        <w:rPr>
          <w:bCs/>
          <w:sz w:val="22"/>
          <w:szCs w:val="22"/>
        </w:rPr>
        <w:t>environments</w:t>
      </w:r>
      <w:r w:rsidR="008E3DA9" w:rsidRPr="00A02BE4">
        <w:rPr>
          <w:sz w:val="22"/>
          <w:szCs w:val="22"/>
        </w:rPr>
        <w:t>, both physical and online, that support collaborative and individual scholarship</w:t>
      </w:r>
      <w:r w:rsidR="00C2306E">
        <w:rPr>
          <w:sz w:val="22"/>
          <w:szCs w:val="22"/>
        </w:rPr>
        <w:t>.</w:t>
      </w:r>
    </w:p>
    <w:p w14:paraId="28F1ACDD" w14:textId="488ECF38" w:rsidR="00793109" w:rsidRPr="00F5027A" w:rsidRDefault="00F5027A" w:rsidP="008E3DA9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Renovations</w:t>
      </w:r>
      <w:r w:rsidR="00793109" w:rsidRPr="00A02BE4">
        <w:rPr>
          <w:sz w:val="22"/>
          <w:szCs w:val="22"/>
        </w:rPr>
        <w:t xml:space="preserve"> to Ellis Library and </w:t>
      </w:r>
      <w:r w:rsidR="00C2306E">
        <w:rPr>
          <w:sz w:val="22"/>
          <w:szCs w:val="22"/>
        </w:rPr>
        <w:t>the eight specialized</w:t>
      </w:r>
      <w:r w:rsidR="00793109" w:rsidRPr="00A02BE4">
        <w:rPr>
          <w:sz w:val="22"/>
          <w:szCs w:val="22"/>
        </w:rPr>
        <w:t xml:space="preserve"> </w:t>
      </w:r>
      <w:r w:rsidR="00C2306E">
        <w:rPr>
          <w:sz w:val="22"/>
          <w:szCs w:val="22"/>
        </w:rPr>
        <w:t>l</w:t>
      </w:r>
      <w:r w:rsidR="00793109" w:rsidRPr="00A02BE4">
        <w:rPr>
          <w:sz w:val="22"/>
          <w:szCs w:val="22"/>
        </w:rPr>
        <w:t>ibraries</w:t>
      </w:r>
      <w:r w:rsidR="008E3DA9" w:rsidRPr="00A02BE4">
        <w:rPr>
          <w:sz w:val="22"/>
          <w:szCs w:val="22"/>
        </w:rPr>
        <w:t xml:space="preserve">, including </w:t>
      </w:r>
      <w:r w:rsidR="004B618D">
        <w:rPr>
          <w:sz w:val="22"/>
          <w:szCs w:val="22"/>
        </w:rPr>
        <w:t xml:space="preserve">an expanded </w:t>
      </w:r>
      <w:r w:rsidR="00793109" w:rsidRPr="00A02BE4">
        <w:rPr>
          <w:sz w:val="22"/>
          <w:szCs w:val="22"/>
        </w:rPr>
        <w:t>Bookmark Café</w:t>
      </w:r>
      <w:r w:rsidR="00CE689D">
        <w:rPr>
          <w:sz w:val="22"/>
          <w:szCs w:val="22"/>
        </w:rPr>
        <w:t xml:space="preserve">, </w:t>
      </w:r>
      <w:r w:rsidR="00316546">
        <w:rPr>
          <w:sz w:val="22"/>
          <w:szCs w:val="22"/>
        </w:rPr>
        <w:t>a</w:t>
      </w:r>
      <w:r w:rsidR="004B618D">
        <w:rPr>
          <w:sz w:val="22"/>
          <w:szCs w:val="22"/>
        </w:rPr>
        <w:t>dditional</w:t>
      </w:r>
      <w:r w:rsidR="008E3DA9" w:rsidRPr="00A02BE4">
        <w:rPr>
          <w:sz w:val="22"/>
          <w:szCs w:val="22"/>
        </w:rPr>
        <w:t xml:space="preserve"> </w:t>
      </w:r>
      <w:r w:rsidR="00793109" w:rsidRPr="00A02BE4">
        <w:rPr>
          <w:sz w:val="22"/>
          <w:szCs w:val="22"/>
        </w:rPr>
        <w:t>quiet study space</w:t>
      </w:r>
      <w:r w:rsidR="00316546">
        <w:rPr>
          <w:sz w:val="22"/>
          <w:szCs w:val="22"/>
        </w:rPr>
        <w:t>, i</w:t>
      </w:r>
      <w:r w:rsidR="00793109" w:rsidRPr="00A02BE4">
        <w:rPr>
          <w:sz w:val="22"/>
          <w:szCs w:val="22"/>
        </w:rPr>
        <w:t>ncreased collaborative space</w:t>
      </w:r>
      <w:r w:rsidR="008E3DA9" w:rsidRPr="00A02BE4">
        <w:rPr>
          <w:b/>
          <w:sz w:val="22"/>
          <w:szCs w:val="22"/>
        </w:rPr>
        <w:t xml:space="preserve">, </w:t>
      </w:r>
      <w:r w:rsidR="00316546">
        <w:rPr>
          <w:sz w:val="22"/>
          <w:szCs w:val="22"/>
        </w:rPr>
        <w:t xml:space="preserve">an </w:t>
      </w:r>
      <w:r w:rsidR="00634DAB">
        <w:rPr>
          <w:sz w:val="22"/>
          <w:szCs w:val="22"/>
        </w:rPr>
        <w:t>electronic</w:t>
      </w:r>
      <w:r w:rsidR="00CE689D">
        <w:rPr>
          <w:sz w:val="22"/>
          <w:szCs w:val="22"/>
        </w:rPr>
        <w:t xml:space="preserve"> classroom, digital media lab</w:t>
      </w:r>
      <w:r w:rsidR="00CE689D" w:rsidRPr="00F5027A">
        <w:rPr>
          <w:sz w:val="22"/>
          <w:szCs w:val="22"/>
        </w:rPr>
        <w:t xml:space="preserve">, </w:t>
      </w:r>
      <w:r w:rsidR="008E3DA9" w:rsidRPr="00F5027A">
        <w:rPr>
          <w:sz w:val="22"/>
          <w:szCs w:val="22"/>
        </w:rPr>
        <w:t>m</w:t>
      </w:r>
      <w:r w:rsidR="00793109" w:rsidRPr="00F5027A">
        <w:rPr>
          <w:sz w:val="22"/>
          <w:szCs w:val="22"/>
        </w:rPr>
        <w:t>ore power outlets</w:t>
      </w:r>
      <w:r w:rsidR="00CE689D" w:rsidRPr="00F5027A">
        <w:rPr>
          <w:sz w:val="22"/>
          <w:szCs w:val="22"/>
        </w:rPr>
        <w:t xml:space="preserve"> and improved wireless access.</w:t>
      </w:r>
    </w:p>
    <w:p w14:paraId="5A816716" w14:textId="77777777" w:rsidR="00793109" w:rsidRPr="00A02BE4" w:rsidRDefault="00793109" w:rsidP="00793109">
      <w:pPr>
        <w:pStyle w:val="NoSpacing"/>
        <w:rPr>
          <w:sz w:val="22"/>
          <w:szCs w:val="22"/>
        </w:rPr>
      </w:pPr>
    </w:p>
    <w:p w14:paraId="315C97CD" w14:textId="20F90082" w:rsidR="008E3DA9" w:rsidRPr="00A02BE4" w:rsidRDefault="00793109" w:rsidP="008E3DA9">
      <w:pPr>
        <w:pStyle w:val="NoSpacing"/>
        <w:rPr>
          <w:sz w:val="22"/>
          <w:szCs w:val="22"/>
        </w:rPr>
      </w:pPr>
      <w:r w:rsidRPr="00962A01">
        <w:rPr>
          <w:b/>
        </w:rPr>
        <w:t>Innovative Services</w:t>
      </w:r>
      <w:r w:rsidR="008E3DA9" w:rsidRPr="00962A01">
        <w:rPr>
          <w:b/>
        </w:rPr>
        <w:t>:</w:t>
      </w:r>
      <w:r w:rsidR="008E3DA9" w:rsidRPr="00A02BE4">
        <w:rPr>
          <w:b/>
          <w:sz w:val="22"/>
          <w:szCs w:val="22"/>
        </w:rPr>
        <w:t xml:space="preserve">  </w:t>
      </w:r>
      <w:r w:rsidR="008E3DA9" w:rsidRPr="00A02BE4">
        <w:rPr>
          <w:sz w:val="22"/>
          <w:szCs w:val="22"/>
        </w:rPr>
        <w:t xml:space="preserve">Provide </w:t>
      </w:r>
      <w:r w:rsidR="00A02BE4" w:rsidRPr="00A02BE4">
        <w:rPr>
          <w:bCs/>
          <w:sz w:val="22"/>
          <w:szCs w:val="22"/>
        </w:rPr>
        <w:t>e</w:t>
      </w:r>
      <w:r w:rsidR="008E3DA9" w:rsidRPr="00A02BE4">
        <w:rPr>
          <w:bCs/>
          <w:sz w:val="22"/>
          <w:szCs w:val="22"/>
        </w:rPr>
        <w:t xml:space="preserve">quipment, software and technical expertise </w:t>
      </w:r>
      <w:r w:rsidR="00C2306E">
        <w:rPr>
          <w:sz w:val="22"/>
          <w:szCs w:val="22"/>
        </w:rPr>
        <w:t>to</w:t>
      </w:r>
      <w:r w:rsidR="008E3DA9" w:rsidRPr="00A02BE4">
        <w:rPr>
          <w:sz w:val="22"/>
          <w:szCs w:val="22"/>
        </w:rPr>
        <w:t xml:space="preserve"> support the broad range of student academic pursuits at MU.  </w:t>
      </w:r>
    </w:p>
    <w:p w14:paraId="754DA943" w14:textId="07CB562B" w:rsidR="00190B32" w:rsidRPr="00A02BE4" w:rsidRDefault="003646F6" w:rsidP="00190B32">
      <w:pPr>
        <w:pStyle w:val="NoSpacing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24/7 l</w:t>
      </w:r>
      <w:r w:rsidR="00190B32" w:rsidRPr="004B618D">
        <w:rPr>
          <w:sz w:val="22"/>
          <w:szCs w:val="22"/>
        </w:rPr>
        <w:t xml:space="preserve">ibrary </w:t>
      </w:r>
      <w:r>
        <w:rPr>
          <w:sz w:val="22"/>
          <w:szCs w:val="22"/>
        </w:rPr>
        <w:t>o</w:t>
      </w:r>
      <w:r w:rsidR="00190B32" w:rsidRPr="004B618D">
        <w:rPr>
          <w:sz w:val="22"/>
          <w:szCs w:val="22"/>
        </w:rPr>
        <w:t>perations</w:t>
      </w:r>
      <w:r w:rsidR="00190B32">
        <w:rPr>
          <w:b/>
          <w:sz w:val="22"/>
          <w:szCs w:val="22"/>
        </w:rPr>
        <w:t xml:space="preserve"> </w:t>
      </w:r>
      <w:r w:rsidR="00190B32" w:rsidRPr="00A02BE4">
        <w:rPr>
          <w:sz w:val="22"/>
          <w:szCs w:val="22"/>
        </w:rPr>
        <w:t xml:space="preserve">with </w:t>
      </w:r>
      <w:r w:rsidR="00190B32">
        <w:rPr>
          <w:sz w:val="22"/>
          <w:szCs w:val="22"/>
        </w:rPr>
        <w:t xml:space="preserve">restricted access during extended </w:t>
      </w:r>
      <w:r w:rsidR="00190B32" w:rsidRPr="00A02BE4">
        <w:rPr>
          <w:sz w:val="22"/>
          <w:szCs w:val="22"/>
        </w:rPr>
        <w:t>hours</w:t>
      </w:r>
      <w:r w:rsidR="00190B32">
        <w:rPr>
          <w:sz w:val="22"/>
          <w:szCs w:val="22"/>
        </w:rPr>
        <w:t xml:space="preserve"> – MU ID required</w:t>
      </w:r>
    </w:p>
    <w:p w14:paraId="48386106" w14:textId="2ECB869C" w:rsidR="008E3DA9" w:rsidRPr="00A02BE4" w:rsidRDefault="008E3DA9" w:rsidP="008E3DA9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A02BE4">
        <w:rPr>
          <w:sz w:val="22"/>
          <w:szCs w:val="22"/>
        </w:rPr>
        <w:t>I</w:t>
      </w:r>
      <w:r w:rsidRPr="00A02BE4">
        <w:rPr>
          <w:bCs/>
          <w:sz w:val="22"/>
          <w:szCs w:val="22"/>
        </w:rPr>
        <w:t xml:space="preserve">nstructional </w:t>
      </w:r>
      <w:r w:rsidR="00CE689D">
        <w:rPr>
          <w:bCs/>
          <w:sz w:val="22"/>
          <w:szCs w:val="22"/>
        </w:rPr>
        <w:t xml:space="preserve">and research support </w:t>
      </w:r>
      <w:r w:rsidRPr="00A02BE4">
        <w:rPr>
          <w:bCs/>
          <w:sz w:val="22"/>
          <w:szCs w:val="22"/>
        </w:rPr>
        <w:t xml:space="preserve">services </w:t>
      </w:r>
      <w:r w:rsidR="00C2306E">
        <w:rPr>
          <w:sz w:val="22"/>
          <w:szCs w:val="22"/>
        </w:rPr>
        <w:t>with</w:t>
      </w:r>
      <w:r w:rsidRPr="00A02BE4">
        <w:rPr>
          <w:sz w:val="22"/>
          <w:szCs w:val="22"/>
        </w:rPr>
        <w:t xml:space="preserve"> library programming that will enable students to succeed in a technological and knowledge-rich society</w:t>
      </w:r>
    </w:p>
    <w:p w14:paraId="35EEFCF2" w14:textId="50F76A90" w:rsidR="00A02BE4" w:rsidRPr="00A02BE4" w:rsidRDefault="00A02BE4" w:rsidP="00A02BE4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A02BE4">
        <w:rPr>
          <w:sz w:val="22"/>
          <w:szCs w:val="22"/>
        </w:rPr>
        <w:t>Librarians and staff specializing in digital media services, graphic design, student experience, preserv</w:t>
      </w:r>
      <w:r w:rsidR="003646F6">
        <w:rPr>
          <w:sz w:val="22"/>
          <w:szCs w:val="22"/>
        </w:rPr>
        <w:t xml:space="preserve">ation, web services, eLearning </w:t>
      </w:r>
      <w:r w:rsidRPr="00A02BE4">
        <w:rPr>
          <w:sz w:val="22"/>
          <w:szCs w:val="22"/>
        </w:rPr>
        <w:t>and more</w:t>
      </w:r>
    </w:p>
    <w:p w14:paraId="10BA7CEA" w14:textId="77777777" w:rsidR="008E3DA9" w:rsidRPr="00A02BE4" w:rsidRDefault="008E3DA9" w:rsidP="008E3DA9">
      <w:pPr>
        <w:pStyle w:val="NoSpacing"/>
        <w:rPr>
          <w:b/>
          <w:sz w:val="22"/>
          <w:szCs w:val="22"/>
        </w:rPr>
      </w:pPr>
    </w:p>
    <w:p w14:paraId="5D56C47E" w14:textId="18483705" w:rsidR="008E3DA9" w:rsidRPr="00A02BE4" w:rsidRDefault="008E3DA9" w:rsidP="008E3DA9">
      <w:pPr>
        <w:pStyle w:val="NoSpacing"/>
        <w:rPr>
          <w:sz w:val="22"/>
          <w:szCs w:val="22"/>
        </w:rPr>
      </w:pPr>
      <w:r w:rsidRPr="00962A01">
        <w:rPr>
          <w:b/>
        </w:rPr>
        <w:t>Expanded Collections</w:t>
      </w:r>
      <w:r w:rsidR="00A02BE4" w:rsidRPr="00962A01">
        <w:rPr>
          <w:b/>
        </w:rPr>
        <w:t>:</w:t>
      </w:r>
      <w:r w:rsidR="00A02BE4" w:rsidRPr="00A02BE4">
        <w:rPr>
          <w:b/>
          <w:sz w:val="22"/>
          <w:szCs w:val="22"/>
        </w:rPr>
        <w:t xml:space="preserve">  </w:t>
      </w:r>
      <w:r w:rsidR="00A02BE4" w:rsidRPr="00A02BE4">
        <w:rPr>
          <w:sz w:val="22"/>
          <w:szCs w:val="22"/>
        </w:rPr>
        <w:t xml:space="preserve">Ensure </w:t>
      </w:r>
      <w:r w:rsidR="00A02BE4" w:rsidRPr="00A02BE4">
        <w:rPr>
          <w:bCs/>
          <w:sz w:val="22"/>
          <w:szCs w:val="22"/>
        </w:rPr>
        <w:t xml:space="preserve">access </w:t>
      </w:r>
      <w:r w:rsidR="00C2306E">
        <w:rPr>
          <w:sz w:val="22"/>
          <w:szCs w:val="22"/>
        </w:rPr>
        <w:t>to a</w:t>
      </w:r>
      <w:r w:rsidR="00A02BE4" w:rsidRPr="00A02BE4">
        <w:rPr>
          <w:sz w:val="22"/>
          <w:szCs w:val="22"/>
        </w:rPr>
        <w:t xml:space="preserve"> </w:t>
      </w:r>
      <w:r w:rsidR="00C2306E">
        <w:rPr>
          <w:sz w:val="22"/>
          <w:szCs w:val="22"/>
        </w:rPr>
        <w:t>growing</w:t>
      </w:r>
      <w:r w:rsidR="00C2306E" w:rsidRPr="00A02BE4">
        <w:rPr>
          <w:sz w:val="22"/>
          <w:szCs w:val="22"/>
        </w:rPr>
        <w:t xml:space="preserve"> </w:t>
      </w:r>
      <w:r w:rsidR="00A02BE4" w:rsidRPr="00A02BE4">
        <w:rPr>
          <w:sz w:val="22"/>
          <w:szCs w:val="22"/>
        </w:rPr>
        <w:t>array of current and multi-disciplinary scholarly works in all formats</w:t>
      </w:r>
      <w:r w:rsidR="00C2306E">
        <w:rPr>
          <w:sz w:val="22"/>
          <w:szCs w:val="22"/>
        </w:rPr>
        <w:t>.</w:t>
      </w:r>
    </w:p>
    <w:p w14:paraId="64BD0B69" w14:textId="77777777" w:rsidR="008E3DA9" w:rsidRPr="00A02BE4" w:rsidRDefault="008E3DA9" w:rsidP="008E3DA9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A02BE4">
        <w:rPr>
          <w:sz w:val="22"/>
          <w:szCs w:val="22"/>
        </w:rPr>
        <w:t>Scholarly books and journals from all disciplines</w:t>
      </w:r>
    </w:p>
    <w:p w14:paraId="12420D95" w14:textId="77777777" w:rsidR="008E3DA9" w:rsidRPr="00A02BE4" w:rsidRDefault="008E3DA9" w:rsidP="008E3DA9">
      <w:pPr>
        <w:pStyle w:val="NoSpacing"/>
        <w:numPr>
          <w:ilvl w:val="0"/>
          <w:numId w:val="4"/>
        </w:numPr>
        <w:rPr>
          <w:b/>
          <w:sz w:val="22"/>
          <w:szCs w:val="22"/>
        </w:rPr>
      </w:pPr>
      <w:r w:rsidRPr="00A02BE4">
        <w:rPr>
          <w:sz w:val="22"/>
          <w:szCs w:val="22"/>
        </w:rPr>
        <w:t>Databases</w:t>
      </w:r>
    </w:p>
    <w:p w14:paraId="0B0FCCE5" w14:textId="77777777" w:rsidR="008E3DA9" w:rsidRPr="008F10BD" w:rsidRDefault="008E3DA9" w:rsidP="008E3DA9">
      <w:pPr>
        <w:pStyle w:val="NoSpacing"/>
        <w:numPr>
          <w:ilvl w:val="0"/>
          <w:numId w:val="4"/>
        </w:numPr>
        <w:rPr>
          <w:b/>
          <w:sz w:val="22"/>
          <w:szCs w:val="22"/>
        </w:rPr>
      </w:pPr>
      <w:r w:rsidRPr="00A02BE4">
        <w:rPr>
          <w:sz w:val="22"/>
          <w:szCs w:val="22"/>
        </w:rPr>
        <w:t>Film and video resources through streaming media</w:t>
      </w:r>
    </w:p>
    <w:p w14:paraId="4F57E4EE" w14:textId="79F6670F" w:rsidR="008F10BD" w:rsidRPr="00A02BE4" w:rsidRDefault="008F10BD" w:rsidP="008E3DA9">
      <w:pPr>
        <w:pStyle w:val="NoSpacing"/>
        <w:numPr>
          <w:ilvl w:val="0"/>
          <w:numId w:val="4"/>
        </w:numPr>
        <w:rPr>
          <w:b/>
          <w:sz w:val="22"/>
          <w:szCs w:val="22"/>
        </w:rPr>
      </w:pPr>
      <w:r>
        <w:rPr>
          <w:sz w:val="22"/>
          <w:szCs w:val="22"/>
        </w:rPr>
        <w:t>Popular reading</w:t>
      </w:r>
    </w:p>
    <w:p w14:paraId="783436C5" w14:textId="77777777" w:rsidR="00A02BE4" w:rsidRPr="00A02BE4" w:rsidRDefault="00A02BE4" w:rsidP="00A02BE4">
      <w:pPr>
        <w:pStyle w:val="NoSpacing"/>
        <w:rPr>
          <w:sz w:val="22"/>
          <w:szCs w:val="22"/>
        </w:rPr>
      </w:pPr>
    </w:p>
    <w:p w14:paraId="06260BA5" w14:textId="77777777" w:rsidR="00A02BE4" w:rsidRDefault="00A02BE4" w:rsidP="00A02BE4">
      <w:pPr>
        <w:pStyle w:val="NoSpacing"/>
        <w:rPr>
          <w:sz w:val="22"/>
          <w:szCs w:val="22"/>
        </w:rPr>
      </w:pPr>
      <w:r w:rsidRPr="00A02BE4">
        <w:rPr>
          <w:sz w:val="22"/>
          <w:szCs w:val="22"/>
        </w:rPr>
        <w:t xml:space="preserve">This proposal includes a fee structure </w:t>
      </w:r>
      <w:r w:rsidR="00B6334F">
        <w:rPr>
          <w:sz w:val="22"/>
          <w:szCs w:val="22"/>
        </w:rPr>
        <w:t xml:space="preserve">that will be </w:t>
      </w:r>
      <w:r w:rsidRPr="00A02BE4">
        <w:rPr>
          <w:sz w:val="22"/>
          <w:szCs w:val="22"/>
        </w:rPr>
        <w:t>implemented fully over 6 years.</w:t>
      </w:r>
    </w:p>
    <w:p w14:paraId="61F821D1" w14:textId="77777777" w:rsidR="00156DC7" w:rsidRPr="00A02BE4" w:rsidRDefault="00156DC7" w:rsidP="00A02BE4">
      <w:pPr>
        <w:pStyle w:val="NoSpacing"/>
        <w:rPr>
          <w:sz w:val="22"/>
          <w:szCs w:val="22"/>
        </w:rPr>
      </w:pPr>
    </w:p>
    <w:tbl>
      <w:tblPr>
        <w:tblStyle w:val="TableGrid"/>
        <w:tblW w:w="6835" w:type="dxa"/>
        <w:jc w:val="center"/>
        <w:tblLook w:val="04A0" w:firstRow="1" w:lastRow="0" w:firstColumn="1" w:lastColumn="0" w:noHBand="0" w:noVBand="1"/>
      </w:tblPr>
      <w:tblGrid>
        <w:gridCol w:w="1623"/>
        <w:gridCol w:w="1252"/>
        <w:gridCol w:w="2070"/>
        <w:gridCol w:w="1890"/>
      </w:tblGrid>
      <w:tr w:rsidR="00EB7FFC" w:rsidRPr="00A02BE4" w14:paraId="7DF930EA" w14:textId="41DAD78D" w:rsidTr="00190B32">
        <w:trPr>
          <w:trHeight w:val="267"/>
          <w:jc w:val="center"/>
        </w:trPr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7C9977F4" w14:textId="5FB75609" w:rsidR="00EB7FFC" w:rsidRPr="00A02BE4" w:rsidRDefault="00EB7FFC" w:rsidP="00190B32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Year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269BC2A1" w14:textId="4E0BAF7A" w:rsidR="00EB7FFC" w:rsidRPr="00697163" w:rsidRDefault="00697163" w:rsidP="00A67FCB">
            <w:pPr>
              <w:pStyle w:val="NoSpacing"/>
              <w:jc w:val="center"/>
              <w:rPr>
                <w:sz w:val="20"/>
                <w:szCs w:val="20"/>
              </w:rPr>
            </w:pPr>
            <w:r w:rsidRPr="00697163">
              <w:rPr>
                <w:sz w:val="20"/>
                <w:szCs w:val="20"/>
              </w:rPr>
              <w:t xml:space="preserve">Fee </w:t>
            </w:r>
            <w:r w:rsidR="00EB7FFC" w:rsidRPr="00697163">
              <w:rPr>
                <w:sz w:val="20"/>
                <w:szCs w:val="20"/>
              </w:rPr>
              <w:t>Per credit hour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0865F0C" w14:textId="78182C70" w:rsidR="00EB7FFC" w:rsidRPr="00A02BE4" w:rsidRDefault="00EB7FFC" w:rsidP="00A67FCB">
            <w:pPr>
              <w:pStyle w:val="NoSpacing"/>
              <w:jc w:val="center"/>
              <w:rPr>
                <w:sz w:val="22"/>
                <w:szCs w:val="22"/>
              </w:rPr>
            </w:pPr>
            <w:r w:rsidRPr="00697163">
              <w:rPr>
                <w:sz w:val="20"/>
                <w:szCs w:val="20"/>
              </w:rPr>
              <w:t>Cost per semester</w:t>
            </w:r>
            <w:r>
              <w:rPr>
                <w:sz w:val="22"/>
                <w:szCs w:val="22"/>
              </w:rPr>
              <w:t xml:space="preserve"> </w:t>
            </w:r>
            <w:r w:rsidR="00107500">
              <w:rPr>
                <w:sz w:val="20"/>
                <w:szCs w:val="20"/>
              </w:rPr>
              <w:t>(15</w:t>
            </w:r>
            <w:r w:rsidRPr="00697163">
              <w:rPr>
                <w:sz w:val="20"/>
                <w:szCs w:val="20"/>
              </w:rPr>
              <w:t xml:space="preserve"> credit hours)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38C18C3" w14:textId="18E24872" w:rsidR="00EB7FFC" w:rsidRDefault="00EB7FFC" w:rsidP="00A67FCB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Estimated New Funding</w:t>
            </w:r>
          </w:p>
        </w:tc>
      </w:tr>
      <w:tr w:rsidR="00EB7FFC" w:rsidRPr="00A02BE4" w14:paraId="592F873B" w14:textId="309EB0D4" w:rsidTr="00190B32">
        <w:trPr>
          <w:trHeight w:val="267"/>
          <w:jc w:val="center"/>
        </w:trPr>
        <w:tc>
          <w:tcPr>
            <w:tcW w:w="1623" w:type="dxa"/>
            <w:shd w:val="clear" w:color="auto" w:fill="D9D9D9" w:themeFill="background1" w:themeFillShade="D9"/>
          </w:tcPr>
          <w:p w14:paraId="5BD66DE1" w14:textId="714AC57D" w:rsidR="00EB7FFC" w:rsidRPr="00A02BE4" w:rsidRDefault="00107500" w:rsidP="00FE796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2016-2017</w:t>
            </w:r>
          </w:p>
        </w:tc>
        <w:tc>
          <w:tcPr>
            <w:tcW w:w="1252" w:type="dxa"/>
          </w:tcPr>
          <w:p w14:paraId="4C4227BB" w14:textId="77777777" w:rsidR="00EB7FFC" w:rsidRPr="00A02BE4" w:rsidRDefault="00EB7FFC" w:rsidP="00697163">
            <w:pPr>
              <w:pStyle w:val="NoSpacing"/>
              <w:ind w:left="157" w:right="59"/>
              <w:jc w:val="center"/>
              <w:rPr>
                <w:sz w:val="22"/>
                <w:szCs w:val="22"/>
              </w:rPr>
            </w:pPr>
            <w:r w:rsidRPr="00A02BE4">
              <w:rPr>
                <w:sz w:val="22"/>
                <w:szCs w:val="22"/>
              </w:rPr>
              <w:t>5.00</w:t>
            </w:r>
          </w:p>
        </w:tc>
        <w:tc>
          <w:tcPr>
            <w:tcW w:w="2070" w:type="dxa"/>
          </w:tcPr>
          <w:p w14:paraId="20FB065B" w14:textId="5871ED36" w:rsidR="00EB7FFC" w:rsidRPr="00A02BE4" w:rsidRDefault="00107500" w:rsidP="00697163">
            <w:pPr>
              <w:pStyle w:val="NoSpacing"/>
              <w:ind w:left="157" w:right="2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EB7FFC" w:rsidRPr="00A02BE4">
              <w:rPr>
                <w:sz w:val="22"/>
                <w:szCs w:val="22"/>
              </w:rPr>
              <w:t>.00</w:t>
            </w:r>
          </w:p>
        </w:tc>
        <w:tc>
          <w:tcPr>
            <w:tcW w:w="1890" w:type="dxa"/>
          </w:tcPr>
          <w:p w14:paraId="52F29380" w14:textId="026E9710" w:rsidR="00EB7FFC" w:rsidRPr="00A02BE4" w:rsidRDefault="00EB7FFC" w:rsidP="00697163">
            <w:pPr>
              <w:pStyle w:val="NoSpacing"/>
              <w:ind w:left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4,330,000</w:t>
            </w:r>
          </w:p>
        </w:tc>
      </w:tr>
      <w:tr w:rsidR="00EB7FFC" w:rsidRPr="00A02BE4" w14:paraId="2AB0EAD5" w14:textId="3F117136" w:rsidTr="00190B32">
        <w:trPr>
          <w:trHeight w:val="267"/>
          <w:jc w:val="center"/>
        </w:trPr>
        <w:tc>
          <w:tcPr>
            <w:tcW w:w="1623" w:type="dxa"/>
            <w:shd w:val="clear" w:color="auto" w:fill="D9D9D9" w:themeFill="background1" w:themeFillShade="D9"/>
          </w:tcPr>
          <w:p w14:paraId="0F63C8CA" w14:textId="1781516D" w:rsidR="00EB7FFC" w:rsidRPr="00A02BE4" w:rsidRDefault="00107500" w:rsidP="00FE796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2017-2018</w:t>
            </w:r>
          </w:p>
        </w:tc>
        <w:tc>
          <w:tcPr>
            <w:tcW w:w="1252" w:type="dxa"/>
          </w:tcPr>
          <w:p w14:paraId="021AA582" w14:textId="77777777" w:rsidR="00EB7FFC" w:rsidRPr="00A02BE4" w:rsidRDefault="00EB7FFC" w:rsidP="00697163">
            <w:pPr>
              <w:pStyle w:val="NoSpacing"/>
              <w:ind w:left="157" w:right="59"/>
              <w:jc w:val="center"/>
              <w:rPr>
                <w:sz w:val="22"/>
                <w:szCs w:val="22"/>
              </w:rPr>
            </w:pPr>
            <w:r w:rsidRPr="00A02BE4">
              <w:rPr>
                <w:sz w:val="22"/>
                <w:szCs w:val="22"/>
              </w:rPr>
              <w:t>7.00</w:t>
            </w:r>
          </w:p>
        </w:tc>
        <w:tc>
          <w:tcPr>
            <w:tcW w:w="2070" w:type="dxa"/>
          </w:tcPr>
          <w:p w14:paraId="534C2193" w14:textId="7016C337" w:rsidR="00EB7FFC" w:rsidRPr="00A02BE4" w:rsidRDefault="00107500" w:rsidP="00697163">
            <w:pPr>
              <w:pStyle w:val="NoSpacing"/>
              <w:ind w:left="157" w:right="2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EB7FFC" w:rsidRPr="00A02BE4">
              <w:rPr>
                <w:sz w:val="22"/>
                <w:szCs w:val="22"/>
              </w:rPr>
              <w:t>.00</w:t>
            </w:r>
          </w:p>
        </w:tc>
        <w:tc>
          <w:tcPr>
            <w:tcW w:w="1890" w:type="dxa"/>
          </w:tcPr>
          <w:p w14:paraId="1B310B0C" w14:textId="61AB4E4F" w:rsidR="00EB7FFC" w:rsidRPr="00A02BE4" w:rsidRDefault="00EB7FFC" w:rsidP="00697163">
            <w:pPr>
              <w:pStyle w:val="NoSpacing"/>
              <w:ind w:left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6,062,000</w:t>
            </w:r>
          </w:p>
        </w:tc>
      </w:tr>
      <w:tr w:rsidR="00EB7FFC" w:rsidRPr="00A02BE4" w14:paraId="28F6358F" w14:textId="43818A73" w:rsidTr="00190B32">
        <w:trPr>
          <w:trHeight w:val="267"/>
          <w:jc w:val="center"/>
        </w:trPr>
        <w:tc>
          <w:tcPr>
            <w:tcW w:w="1623" w:type="dxa"/>
            <w:shd w:val="clear" w:color="auto" w:fill="D9D9D9" w:themeFill="background1" w:themeFillShade="D9"/>
          </w:tcPr>
          <w:p w14:paraId="602DC378" w14:textId="2D072FCC" w:rsidR="00EB7FFC" w:rsidRPr="00A02BE4" w:rsidRDefault="00107500" w:rsidP="00FE796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EB7FFC" w:rsidRPr="00A02BE4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52" w:type="dxa"/>
          </w:tcPr>
          <w:p w14:paraId="56B0C77B" w14:textId="77777777" w:rsidR="00EB7FFC" w:rsidRPr="00A02BE4" w:rsidRDefault="00EB7FFC" w:rsidP="00697163">
            <w:pPr>
              <w:pStyle w:val="NoSpacing"/>
              <w:ind w:left="157" w:right="59"/>
              <w:jc w:val="center"/>
              <w:rPr>
                <w:sz w:val="22"/>
                <w:szCs w:val="22"/>
              </w:rPr>
            </w:pPr>
            <w:r w:rsidRPr="00A02BE4">
              <w:rPr>
                <w:sz w:val="22"/>
                <w:szCs w:val="22"/>
              </w:rPr>
              <w:t>9.00</w:t>
            </w:r>
          </w:p>
        </w:tc>
        <w:tc>
          <w:tcPr>
            <w:tcW w:w="2070" w:type="dxa"/>
          </w:tcPr>
          <w:p w14:paraId="56E1A14F" w14:textId="69ECD40B" w:rsidR="00EB7FFC" w:rsidRPr="00A02BE4" w:rsidRDefault="004B618D" w:rsidP="00697163">
            <w:pPr>
              <w:pStyle w:val="NoSpacing"/>
              <w:ind w:left="157" w:right="2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  <w:r w:rsidR="00EB7FFC" w:rsidRPr="00A02BE4">
              <w:rPr>
                <w:sz w:val="22"/>
                <w:szCs w:val="22"/>
              </w:rPr>
              <w:t>.00</w:t>
            </w:r>
          </w:p>
        </w:tc>
        <w:tc>
          <w:tcPr>
            <w:tcW w:w="1890" w:type="dxa"/>
          </w:tcPr>
          <w:p w14:paraId="5BA9355E" w14:textId="03E81E85" w:rsidR="00EB7FFC" w:rsidRPr="00A02BE4" w:rsidRDefault="00EB7FFC" w:rsidP="00697163">
            <w:pPr>
              <w:pStyle w:val="NoSpacing"/>
              <w:ind w:left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7,794,000</w:t>
            </w:r>
          </w:p>
        </w:tc>
      </w:tr>
      <w:tr w:rsidR="00EB7FFC" w:rsidRPr="00A02BE4" w14:paraId="491C06D9" w14:textId="05713DF4" w:rsidTr="00190B32">
        <w:trPr>
          <w:trHeight w:val="267"/>
          <w:jc w:val="center"/>
        </w:trPr>
        <w:tc>
          <w:tcPr>
            <w:tcW w:w="1623" w:type="dxa"/>
            <w:shd w:val="clear" w:color="auto" w:fill="D9D9D9" w:themeFill="background1" w:themeFillShade="D9"/>
          </w:tcPr>
          <w:p w14:paraId="08716AF8" w14:textId="6F216295" w:rsidR="00EB7FFC" w:rsidRPr="00A02BE4" w:rsidRDefault="00107500" w:rsidP="00FE796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2019-2020</w:t>
            </w:r>
          </w:p>
        </w:tc>
        <w:tc>
          <w:tcPr>
            <w:tcW w:w="1252" w:type="dxa"/>
          </w:tcPr>
          <w:p w14:paraId="02217288" w14:textId="77777777" w:rsidR="00EB7FFC" w:rsidRPr="00A02BE4" w:rsidRDefault="00EB7FFC" w:rsidP="00697163">
            <w:pPr>
              <w:pStyle w:val="NoSpacing"/>
              <w:ind w:left="157" w:right="59"/>
              <w:jc w:val="center"/>
              <w:rPr>
                <w:sz w:val="22"/>
                <w:szCs w:val="22"/>
              </w:rPr>
            </w:pPr>
            <w:r w:rsidRPr="00A02BE4">
              <w:rPr>
                <w:sz w:val="22"/>
                <w:szCs w:val="22"/>
              </w:rPr>
              <w:t>11.00</w:t>
            </w:r>
          </w:p>
        </w:tc>
        <w:tc>
          <w:tcPr>
            <w:tcW w:w="2070" w:type="dxa"/>
          </w:tcPr>
          <w:p w14:paraId="583374FE" w14:textId="495C30E6" w:rsidR="00EB7FFC" w:rsidRPr="00A02BE4" w:rsidRDefault="004B618D" w:rsidP="00697163">
            <w:pPr>
              <w:pStyle w:val="NoSpacing"/>
              <w:ind w:left="157" w:right="2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="00EB7FFC" w:rsidRPr="00A02BE4">
              <w:rPr>
                <w:sz w:val="22"/>
                <w:szCs w:val="22"/>
              </w:rPr>
              <w:t>.00</w:t>
            </w:r>
          </w:p>
        </w:tc>
        <w:tc>
          <w:tcPr>
            <w:tcW w:w="1890" w:type="dxa"/>
          </w:tcPr>
          <w:p w14:paraId="64627535" w14:textId="7AE7846B" w:rsidR="00EB7FFC" w:rsidRPr="00A02BE4" w:rsidRDefault="00EB7FFC" w:rsidP="00697163">
            <w:pPr>
              <w:pStyle w:val="NoSpacing"/>
              <w:ind w:left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9,526,000</w:t>
            </w:r>
          </w:p>
        </w:tc>
      </w:tr>
      <w:tr w:rsidR="00EB7FFC" w:rsidRPr="00A02BE4" w14:paraId="159C12D5" w14:textId="30375B9B" w:rsidTr="00190B32">
        <w:trPr>
          <w:trHeight w:val="267"/>
          <w:jc w:val="center"/>
        </w:trPr>
        <w:tc>
          <w:tcPr>
            <w:tcW w:w="1623" w:type="dxa"/>
            <w:shd w:val="clear" w:color="auto" w:fill="D9D9D9" w:themeFill="background1" w:themeFillShade="D9"/>
          </w:tcPr>
          <w:p w14:paraId="533F83C1" w14:textId="0438B091" w:rsidR="00EB7FFC" w:rsidRPr="00A02BE4" w:rsidRDefault="00107500" w:rsidP="00FE796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2020-2021</w:t>
            </w:r>
          </w:p>
        </w:tc>
        <w:tc>
          <w:tcPr>
            <w:tcW w:w="1252" w:type="dxa"/>
          </w:tcPr>
          <w:p w14:paraId="46AE638C" w14:textId="77777777" w:rsidR="00EB7FFC" w:rsidRPr="00A02BE4" w:rsidRDefault="00EB7FFC" w:rsidP="00697163">
            <w:pPr>
              <w:pStyle w:val="NoSpacing"/>
              <w:ind w:left="157" w:right="59"/>
              <w:jc w:val="center"/>
              <w:rPr>
                <w:sz w:val="22"/>
                <w:szCs w:val="22"/>
              </w:rPr>
            </w:pPr>
            <w:r w:rsidRPr="00A02BE4">
              <w:rPr>
                <w:sz w:val="22"/>
                <w:szCs w:val="22"/>
              </w:rPr>
              <w:t>13.00</w:t>
            </w:r>
          </w:p>
        </w:tc>
        <w:tc>
          <w:tcPr>
            <w:tcW w:w="2070" w:type="dxa"/>
          </w:tcPr>
          <w:p w14:paraId="2B2DC2EF" w14:textId="7D0C8FDD" w:rsidR="00EB7FFC" w:rsidRPr="00A02BE4" w:rsidRDefault="004B618D" w:rsidP="00697163">
            <w:pPr>
              <w:pStyle w:val="NoSpacing"/>
              <w:ind w:left="157" w:right="2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  <w:r w:rsidR="00EB7FFC" w:rsidRPr="00A02BE4">
              <w:rPr>
                <w:sz w:val="22"/>
                <w:szCs w:val="22"/>
              </w:rPr>
              <w:t>.00</w:t>
            </w:r>
          </w:p>
        </w:tc>
        <w:tc>
          <w:tcPr>
            <w:tcW w:w="1890" w:type="dxa"/>
          </w:tcPr>
          <w:p w14:paraId="56C20B9E" w14:textId="1ECFEE3D" w:rsidR="00EB7FFC" w:rsidRPr="00A02BE4" w:rsidRDefault="00EB7FFC" w:rsidP="00697163">
            <w:pPr>
              <w:pStyle w:val="NoSpacing"/>
              <w:ind w:left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11,258,000</w:t>
            </w:r>
          </w:p>
        </w:tc>
      </w:tr>
      <w:tr w:rsidR="00EB7FFC" w:rsidRPr="00A02BE4" w14:paraId="484669AA" w14:textId="6D44A315" w:rsidTr="00190B32">
        <w:trPr>
          <w:trHeight w:val="267"/>
          <w:jc w:val="center"/>
        </w:trPr>
        <w:tc>
          <w:tcPr>
            <w:tcW w:w="1623" w:type="dxa"/>
            <w:shd w:val="clear" w:color="auto" w:fill="D9D9D9" w:themeFill="background1" w:themeFillShade="D9"/>
          </w:tcPr>
          <w:p w14:paraId="1F8B3E36" w14:textId="332D1C22" w:rsidR="00EB7FFC" w:rsidRPr="00A02BE4" w:rsidRDefault="00107500" w:rsidP="00FE7963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2021-2022</w:t>
            </w:r>
          </w:p>
        </w:tc>
        <w:tc>
          <w:tcPr>
            <w:tcW w:w="1252" w:type="dxa"/>
          </w:tcPr>
          <w:p w14:paraId="3BDE6660" w14:textId="77777777" w:rsidR="00EB7FFC" w:rsidRPr="00A02BE4" w:rsidRDefault="00EB7FFC" w:rsidP="00697163">
            <w:pPr>
              <w:pStyle w:val="NoSpacing"/>
              <w:ind w:left="157" w:right="59"/>
              <w:jc w:val="center"/>
              <w:rPr>
                <w:sz w:val="22"/>
                <w:szCs w:val="22"/>
              </w:rPr>
            </w:pPr>
            <w:r w:rsidRPr="00A02BE4">
              <w:rPr>
                <w:sz w:val="22"/>
                <w:szCs w:val="22"/>
              </w:rPr>
              <w:t>15.00</w:t>
            </w:r>
          </w:p>
        </w:tc>
        <w:tc>
          <w:tcPr>
            <w:tcW w:w="2070" w:type="dxa"/>
          </w:tcPr>
          <w:p w14:paraId="5E0A32A9" w14:textId="79BAEF08" w:rsidR="00EB7FFC" w:rsidRPr="00A02BE4" w:rsidRDefault="004B618D" w:rsidP="00697163">
            <w:pPr>
              <w:pStyle w:val="NoSpacing"/>
              <w:ind w:left="157" w:right="2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  <w:r w:rsidR="00EB7FFC" w:rsidRPr="00A02BE4">
              <w:rPr>
                <w:sz w:val="22"/>
                <w:szCs w:val="22"/>
              </w:rPr>
              <w:t>.00</w:t>
            </w:r>
          </w:p>
        </w:tc>
        <w:tc>
          <w:tcPr>
            <w:tcW w:w="1890" w:type="dxa"/>
          </w:tcPr>
          <w:p w14:paraId="7D31520A" w14:textId="29F36D42" w:rsidR="00EB7FFC" w:rsidRPr="00A02BE4" w:rsidRDefault="00EB7FFC" w:rsidP="00697163">
            <w:pPr>
              <w:pStyle w:val="NoSpacing"/>
              <w:ind w:left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12,990,000</w:t>
            </w:r>
          </w:p>
        </w:tc>
      </w:tr>
    </w:tbl>
    <w:p w14:paraId="50508AA7" w14:textId="77777777" w:rsidR="00A02BE4" w:rsidRPr="00A02BE4" w:rsidRDefault="00A02BE4" w:rsidP="00A02BE4">
      <w:pPr>
        <w:pStyle w:val="NoSpacing"/>
        <w:rPr>
          <w:b/>
          <w:sz w:val="22"/>
          <w:szCs w:val="22"/>
        </w:rPr>
      </w:pPr>
    </w:p>
    <w:p w14:paraId="3CE41816" w14:textId="5BCF1250" w:rsidR="00AE7749" w:rsidRDefault="00B6334F">
      <w:pPr>
        <w:rPr>
          <w:sz w:val="22"/>
          <w:szCs w:val="22"/>
        </w:rPr>
      </w:pPr>
      <w:r>
        <w:rPr>
          <w:sz w:val="22"/>
          <w:szCs w:val="22"/>
        </w:rPr>
        <w:t xml:space="preserve">MO Senate Bill 389 caps increases in tuition and </w:t>
      </w:r>
      <w:r w:rsidR="004B618D">
        <w:rPr>
          <w:sz w:val="22"/>
          <w:szCs w:val="22"/>
        </w:rPr>
        <w:t xml:space="preserve">mandatory </w:t>
      </w:r>
      <w:r>
        <w:rPr>
          <w:sz w:val="22"/>
          <w:szCs w:val="22"/>
        </w:rPr>
        <w:t>fees at the consumer price inde</w:t>
      </w:r>
      <w:r w:rsidR="00A67FCB">
        <w:rPr>
          <w:sz w:val="22"/>
          <w:szCs w:val="22"/>
        </w:rPr>
        <w:t xml:space="preserve">x (CPI). </w:t>
      </w:r>
      <w:r w:rsidR="004B618D">
        <w:rPr>
          <w:sz w:val="22"/>
          <w:szCs w:val="22"/>
        </w:rPr>
        <w:t xml:space="preserve">However, </w:t>
      </w:r>
      <w:proofErr w:type="spellStart"/>
      <w:r w:rsidR="00AE7749">
        <w:rPr>
          <w:sz w:val="22"/>
          <w:szCs w:val="22"/>
        </w:rPr>
        <w:t>Mizzou</w:t>
      </w:r>
      <w:r w:rsidR="008D3E6C">
        <w:rPr>
          <w:sz w:val="22"/>
          <w:szCs w:val="22"/>
        </w:rPr>
        <w:t>’s</w:t>
      </w:r>
      <w:proofErr w:type="spellEnd"/>
      <w:r w:rsidR="00AE7749">
        <w:rPr>
          <w:sz w:val="22"/>
          <w:szCs w:val="22"/>
        </w:rPr>
        <w:t xml:space="preserve"> students can, through a re</w:t>
      </w:r>
      <w:r w:rsidR="00962A01">
        <w:rPr>
          <w:sz w:val="22"/>
          <w:szCs w:val="22"/>
        </w:rPr>
        <w:t>ferendum, choose to</w:t>
      </w:r>
      <w:r w:rsidR="00166DBD">
        <w:rPr>
          <w:sz w:val="22"/>
          <w:szCs w:val="22"/>
        </w:rPr>
        <w:t xml:space="preserve"> self-impose</w:t>
      </w:r>
      <w:r w:rsidR="00A67FCB">
        <w:rPr>
          <w:sz w:val="22"/>
          <w:szCs w:val="22"/>
        </w:rPr>
        <w:t xml:space="preserve"> fees</w:t>
      </w:r>
      <w:r w:rsidR="00166DBD">
        <w:rPr>
          <w:sz w:val="22"/>
          <w:szCs w:val="22"/>
        </w:rPr>
        <w:t>.  Student leadership has responded favorably to</w:t>
      </w:r>
      <w:r w:rsidR="00962A01">
        <w:rPr>
          <w:sz w:val="22"/>
          <w:szCs w:val="22"/>
        </w:rPr>
        <w:t xml:space="preserve"> the idea of a fee to support our library system</w:t>
      </w:r>
      <w:r w:rsidR="00A67FCB">
        <w:rPr>
          <w:sz w:val="22"/>
          <w:szCs w:val="22"/>
        </w:rPr>
        <w:t xml:space="preserve">. </w:t>
      </w:r>
      <w:r w:rsidR="00962A01">
        <w:rPr>
          <w:sz w:val="22"/>
          <w:szCs w:val="22"/>
        </w:rPr>
        <w:t xml:space="preserve">MU Libraries </w:t>
      </w:r>
      <w:r w:rsidR="004B618D">
        <w:rPr>
          <w:sz w:val="22"/>
          <w:szCs w:val="22"/>
        </w:rPr>
        <w:t>are the only academic u</w:t>
      </w:r>
      <w:r w:rsidR="00962A01">
        <w:rPr>
          <w:sz w:val="22"/>
          <w:szCs w:val="22"/>
        </w:rPr>
        <w:t xml:space="preserve">nit on campus without a fee and, as a result, </w:t>
      </w:r>
      <w:r w:rsidR="006E32FA">
        <w:rPr>
          <w:sz w:val="22"/>
          <w:szCs w:val="22"/>
        </w:rPr>
        <w:t xml:space="preserve">we </w:t>
      </w:r>
      <w:r w:rsidR="00962A01">
        <w:rPr>
          <w:sz w:val="22"/>
          <w:szCs w:val="22"/>
        </w:rPr>
        <w:t>have been falling behind our peers, both in national rankings and in our ability to serve the campus community.</w:t>
      </w:r>
    </w:p>
    <w:p w14:paraId="157CE1A8" w14:textId="77777777" w:rsidR="00AE7749" w:rsidRDefault="00AE7749" w:rsidP="00AE7749">
      <w:pPr>
        <w:rPr>
          <w:sz w:val="22"/>
          <w:szCs w:val="22"/>
        </w:rPr>
      </w:pPr>
    </w:p>
    <w:p w14:paraId="72E99F74" w14:textId="01A0F9FD" w:rsidR="00AE7749" w:rsidRDefault="00AE7749" w:rsidP="00AE7749">
      <w:pPr>
        <w:rPr>
          <w:sz w:val="22"/>
          <w:szCs w:val="22"/>
        </w:rPr>
      </w:pPr>
      <w:r w:rsidRPr="00962A01">
        <w:rPr>
          <w:sz w:val="22"/>
          <w:szCs w:val="22"/>
        </w:rPr>
        <w:t>A yes vote will have a transformative effect on our libraries and our campus.</w:t>
      </w:r>
      <w:r w:rsidR="008D3E6C">
        <w:rPr>
          <w:sz w:val="22"/>
          <w:szCs w:val="22"/>
        </w:rPr>
        <w:t xml:space="preserve">  The decision, made by </w:t>
      </w:r>
      <w:r>
        <w:rPr>
          <w:sz w:val="22"/>
          <w:szCs w:val="22"/>
        </w:rPr>
        <w:t>students</w:t>
      </w:r>
      <w:r w:rsidR="008D3E6C">
        <w:rPr>
          <w:sz w:val="22"/>
          <w:szCs w:val="22"/>
        </w:rPr>
        <w:t>,</w:t>
      </w:r>
      <w:r>
        <w:rPr>
          <w:sz w:val="22"/>
          <w:szCs w:val="22"/>
        </w:rPr>
        <w:t xml:space="preserve"> regarding this proposal to </w:t>
      </w:r>
      <w:r w:rsidR="00985354">
        <w:rPr>
          <w:sz w:val="22"/>
          <w:szCs w:val="22"/>
        </w:rPr>
        <w:t>invest additional funds in t</w:t>
      </w:r>
      <w:r>
        <w:rPr>
          <w:sz w:val="22"/>
          <w:szCs w:val="22"/>
        </w:rPr>
        <w:t>he MU</w:t>
      </w:r>
      <w:r w:rsidR="008D3E6C">
        <w:rPr>
          <w:sz w:val="22"/>
          <w:szCs w:val="22"/>
        </w:rPr>
        <w:t xml:space="preserve"> Libraries will directly impact</w:t>
      </w:r>
      <w:r w:rsidR="00FC40B8">
        <w:rPr>
          <w:sz w:val="22"/>
          <w:szCs w:val="22"/>
        </w:rPr>
        <w:t xml:space="preserve"> </w:t>
      </w:r>
      <w:r w:rsidR="00736748">
        <w:rPr>
          <w:sz w:val="22"/>
          <w:szCs w:val="22"/>
        </w:rPr>
        <w:t>library</w:t>
      </w:r>
      <w:r>
        <w:rPr>
          <w:sz w:val="22"/>
          <w:szCs w:val="22"/>
        </w:rPr>
        <w:t xml:space="preserve"> </w:t>
      </w:r>
      <w:r w:rsidR="00736748">
        <w:rPr>
          <w:sz w:val="22"/>
          <w:szCs w:val="22"/>
        </w:rPr>
        <w:t>services</w:t>
      </w:r>
      <w:r w:rsidR="006E32FA">
        <w:rPr>
          <w:sz w:val="22"/>
          <w:szCs w:val="22"/>
        </w:rPr>
        <w:t>,</w:t>
      </w:r>
      <w:r w:rsidR="00736748">
        <w:rPr>
          <w:sz w:val="22"/>
          <w:szCs w:val="22"/>
        </w:rPr>
        <w:t xml:space="preserve"> the </w:t>
      </w:r>
      <w:r w:rsidR="008D3E6C">
        <w:rPr>
          <w:sz w:val="22"/>
          <w:szCs w:val="22"/>
        </w:rPr>
        <w:t xml:space="preserve">academic </w:t>
      </w:r>
      <w:r>
        <w:rPr>
          <w:sz w:val="22"/>
          <w:szCs w:val="22"/>
        </w:rPr>
        <w:t>reputati</w:t>
      </w:r>
      <w:r w:rsidR="008D3E6C">
        <w:rPr>
          <w:sz w:val="22"/>
          <w:szCs w:val="22"/>
        </w:rPr>
        <w:t>on of</w:t>
      </w:r>
      <w:r w:rsidR="00FC40B8">
        <w:rPr>
          <w:sz w:val="22"/>
          <w:szCs w:val="22"/>
        </w:rPr>
        <w:t xml:space="preserve"> </w:t>
      </w:r>
      <w:r w:rsidR="008D3E6C">
        <w:rPr>
          <w:sz w:val="22"/>
          <w:szCs w:val="22"/>
        </w:rPr>
        <w:t xml:space="preserve">the </w:t>
      </w:r>
      <w:r w:rsidR="00FC40B8">
        <w:rPr>
          <w:sz w:val="22"/>
          <w:szCs w:val="22"/>
        </w:rPr>
        <w:t>u</w:t>
      </w:r>
      <w:r w:rsidR="00736748">
        <w:rPr>
          <w:sz w:val="22"/>
          <w:szCs w:val="22"/>
        </w:rPr>
        <w:t>niversity</w:t>
      </w:r>
      <w:r w:rsidR="008D3E6C">
        <w:rPr>
          <w:sz w:val="22"/>
          <w:szCs w:val="22"/>
        </w:rPr>
        <w:t>, and the lasting value of</w:t>
      </w:r>
      <w:r w:rsidR="006E32FA">
        <w:rPr>
          <w:sz w:val="22"/>
          <w:szCs w:val="22"/>
        </w:rPr>
        <w:t xml:space="preserve"> </w:t>
      </w:r>
      <w:r w:rsidR="00641FFB">
        <w:rPr>
          <w:sz w:val="22"/>
          <w:szCs w:val="22"/>
        </w:rPr>
        <w:t>an MU degree</w:t>
      </w:r>
      <w:r w:rsidR="00736748">
        <w:rPr>
          <w:sz w:val="22"/>
          <w:szCs w:val="22"/>
        </w:rPr>
        <w:t>.</w:t>
      </w:r>
    </w:p>
    <w:p w14:paraId="0797128A" w14:textId="77777777" w:rsidR="00985354" w:rsidRDefault="00985354" w:rsidP="00AE7749">
      <w:pPr>
        <w:rPr>
          <w:sz w:val="22"/>
          <w:szCs w:val="22"/>
        </w:rPr>
      </w:pPr>
      <w:bookmarkStart w:id="0" w:name="_GoBack"/>
      <w:bookmarkEnd w:id="0"/>
    </w:p>
    <w:p w14:paraId="57B10469" w14:textId="33D2C783" w:rsidR="00AE7749" w:rsidRPr="00962A01" w:rsidRDefault="00985354">
      <w:r w:rsidRPr="00962A01">
        <w:rPr>
          <w:b/>
        </w:rPr>
        <w:t>Great universities have great libraries.  Vote to invest in the MU Libraries.</w:t>
      </w:r>
    </w:p>
    <w:sectPr w:rsidR="00AE7749" w:rsidRPr="00962A01" w:rsidSect="00FF22A9">
      <w:headerReference w:type="even" r:id="rId11"/>
      <w:headerReference w:type="default" r:id="rId1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ECA8B" w14:textId="77777777" w:rsidR="008D3E6C" w:rsidRDefault="008D3E6C" w:rsidP="00793109">
      <w:r>
        <w:separator/>
      </w:r>
    </w:p>
  </w:endnote>
  <w:endnote w:type="continuationSeparator" w:id="0">
    <w:p w14:paraId="18507863" w14:textId="77777777" w:rsidR="008D3E6C" w:rsidRDefault="008D3E6C" w:rsidP="0079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D2B11" w14:textId="77777777" w:rsidR="008D3E6C" w:rsidRDefault="008D3E6C" w:rsidP="00793109">
      <w:r>
        <w:separator/>
      </w:r>
    </w:p>
  </w:footnote>
  <w:footnote w:type="continuationSeparator" w:id="0">
    <w:p w14:paraId="641F8297" w14:textId="77777777" w:rsidR="008D3E6C" w:rsidRDefault="008D3E6C" w:rsidP="00793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placeholder>
        <w:docPart w:val="F0FBAE75D2BE1E4D9D31645A01A7B66A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7B8A64E" w14:textId="77777777" w:rsidR="008D3E6C" w:rsidRPr="005E04E9" w:rsidRDefault="008D3E6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B934AA6D3BA81E49BA30A579F62F0A68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 w:fullDate="2015-02-10T00:00:00Z">
        <w:dateFormat w:val="MMMM d, yyyy"/>
        <w:lid w:val="en-US"/>
        <w:storeMappedDataAs w:val="dateTime"/>
        <w:calendar w:val="gregorian"/>
      </w:date>
    </w:sdtPr>
    <w:sdtEndPr/>
    <w:sdtContent>
      <w:p w14:paraId="61D0E283" w14:textId="0FEAA10B" w:rsidR="008D3E6C" w:rsidRPr="005E04E9" w:rsidRDefault="008D3E6C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t>[Pick the date]</w:t>
        </w:r>
      </w:p>
    </w:sdtContent>
  </w:sdt>
  <w:p w14:paraId="258EB62D" w14:textId="77777777" w:rsidR="008D3E6C" w:rsidRDefault="008D3E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ED875" w14:textId="0DDEC834" w:rsidR="008D3E6C" w:rsidRPr="00697163" w:rsidRDefault="008D3E6C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Cambria" w:hAnsi="Cambria"/>
        <w:b/>
      </w:rPr>
    </w:pPr>
    <w:r w:rsidRPr="00697163">
      <w:rPr>
        <w:rFonts w:ascii="Cambria" w:hAnsi="Cambria"/>
        <w:b/>
      </w:rPr>
      <w:t>Proposal for Student Investment in the MU Libraries</w:t>
    </w:r>
  </w:p>
  <w:sdt>
    <w:sdtPr>
      <w:rPr>
        <w:rFonts w:ascii="Cambria" w:hAnsi="Cambria"/>
      </w:rPr>
      <w:alias w:val="Date"/>
      <w:id w:val="-1671940822"/>
      <w:showingPlcHdr/>
      <w:dataBinding w:prefixMappings="xmlns:ns0='http://schemas.microsoft.com/office/2006/coverPageProps'" w:xpath="/ns0:CoverPageProperties[1]/ns0:PublishDate[1]" w:storeItemID="{55AF091B-3C7A-41E3-B477-F2FDAA23CFDA}"/>
      <w:date w:fullDate="2015-02-10T00:00:00Z">
        <w:dateFormat w:val="MMMM d, yyyy"/>
        <w:lid w:val="en-US"/>
        <w:storeMappedDataAs w:val="dateTime"/>
        <w:calendar w:val="gregorian"/>
      </w:date>
    </w:sdtPr>
    <w:sdtEndPr/>
    <w:sdtContent>
      <w:p w14:paraId="2D30F392" w14:textId="469086A2" w:rsidR="008D3E6C" w:rsidRPr="00CE689D" w:rsidRDefault="008D3E6C" w:rsidP="00CE689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2F19"/>
    <w:multiLevelType w:val="hybridMultilevel"/>
    <w:tmpl w:val="FD6E2038"/>
    <w:lvl w:ilvl="0" w:tplc="5080AE5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64CD9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5444B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341FB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7E274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7499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B895E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64670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42502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B331E57"/>
    <w:multiLevelType w:val="hybridMultilevel"/>
    <w:tmpl w:val="3BC8D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969CF"/>
    <w:multiLevelType w:val="hybridMultilevel"/>
    <w:tmpl w:val="EFCE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54906"/>
    <w:multiLevelType w:val="hybridMultilevel"/>
    <w:tmpl w:val="75603F82"/>
    <w:lvl w:ilvl="0" w:tplc="E13AED2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0AA35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70F44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14970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2A814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860B7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72952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768C8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94AB7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981706B"/>
    <w:multiLevelType w:val="hybridMultilevel"/>
    <w:tmpl w:val="D1C2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23C54"/>
    <w:multiLevelType w:val="hybridMultilevel"/>
    <w:tmpl w:val="512A31DA"/>
    <w:lvl w:ilvl="0" w:tplc="E2C66A0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74B0B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5EE3C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26C8E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DEA0C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14419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5C09E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AC625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565B9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4BA0EE1"/>
    <w:multiLevelType w:val="hybridMultilevel"/>
    <w:tmpl w:val="FEB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A5ED3"/>
    <w:multiLevelType w:val="hybridMultilevel"/>
    <w:tmpl w:val="1D244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964DC"/>
    <w:multiLevelType w:val="hybridMultilevel"/>
    <w:tmpl w:val="C344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09"/>
    <w:rsid w:val="000A5AA5"/>
    <w:rsid w:val="00107500"/>
    <w:rsid w:val="00116E51"/>
    <w:rsid w:val="00156DC7"/>
    <w:rsid w:val="00166DBD"/>
    <w:rsid w:val="00190B32"/>
    <w:rsid w:val="002C3F2B"/>
    <w:rsid w:val="002F22E4"/>
    <w:rsid w:val="00316546"/>
    <w:rsid w:val="00320D33"/>
    <w:rsid w:val="00341F74"/>
    <w:rsid w:val="003646F6"/>
    <w:rsid w:val="00364D98"/>
    <w:rsid w:val="00385E8A"/>
    <w:rsid w:val="003A7E8A"/>
    <w:rsid w:val="004048AB"/>
    <w:rsid w:val="00441CFE"/>
    <w:rsid w:val="004B618D"/>
    <w:rsid w:val="004C6396"/>
    <w:rsid w:val="004E5BD1"/>
    <w:rsid w:val="005248E5"/>
    <w:rsid w:val="00634DAB"/>
    <w:rsid w:val="00641FFB"/>
    <w:rsid w:val="00697163"/>
    <w:rsid w:val="006B402B"/>
    <w:rsid w:val="006E32FA"/>
    <w:rsid w:val="007309E9"/>
    <w:rsid w:val="00736748"/>
    <w:rsid w:val="00793109"/>
    <w:rsid w:val="008B7570"/>
    <w:rsid w:val="008D3E6C"/>
    <w:rsid w:val="008E3DA9"/>
    <w:rsid w:val="008F10BD"/>
    <w:rsid w:val="00962A01"/>
    <w:rsid w:val="00985354"/>
    <w:rsid w:val="00A02BE4"/>
    <w:rsid w:val="00A67FCB"/>
    <w:rsid w:val="00AA10C4"/>
    <w:rsid w:val="00AE7749"/>
    <w:rsid w:val="00B6334F"/>
    <w:rsid w:val="00BF3385"/>
    <w:rsid w:val="00C2306E"/>
    <w:rsid w:val="00CE689D"/>
    <w:rsid w:val="00D37676"/>
    <w:rsid w:val="00EB58EC"/>
    <w:rsid w:val="00EB7FFC"/>
    <w:rsid w:val="00F41C4D"/>
    <w:rsid w:val="00F5027A"/>
    <w:rsid w:val="00FB5580"/>
    <w:rsid w:val="00FC40B8"/>
    <w:rsid w:val="00FE7963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0B3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1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1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109"/>
  </w:style>
  <w:style w:type="paragraph" w:styleId="Footer">
    <w:name w:val="footer"/>
    <w:basedOn w:val="Normal"/>
    <w:link w:val="FooterChar"/>
    <w:uiPriority w:val="99"/>
    <w:unhideWhenUsed/>
    <w:rsid w:val="007931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109"/>
  </w:style>
  <w:style w:type="character" w:styleId="Hyperlink">
    <w:name w:val="Hyperlink"/>
    <w:basedOn w:val="DefaultParagraphFont"/>
    <w:uiPriority w:val="99"/>
    <w:unhideWhenUsed/>
    <w:rsid w:val="0079310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3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310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31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793109"/>
  </w:style>
  <w:style w:type="paragraph" w:styleId="ListParagraph">
    <w:name w:val="List Paragraph"/>
    <w:basedOn w:val="Normal"/>
    <w:uiPriority w:val="34"/>
    <w:qFormat/>
    <w:rsid w:val="00A02BE4"/>
    <w:pPr>
      <w:ind w:left="720"/>
      <w:contextualSpacing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A0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22E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1C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1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1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1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109"/>
  </w:style>
  <w:style w:type="paragraph" w:styleId="Footer">
    <w:name w:val="footer"/>
    <w:basedOn w:val="Normal"/>
    <w:link w:val="FooterChar"/>
    <w:uiPriority w:val="99"/>
    <w:unhideWhenUsed/>
    <w:rsid w:val="007931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109"/>
  </w:style>
  <w:style w:type="character" w:styleId="Hyperlink">
    <w:name w:val="Hyperlink"/>
    <w:basedOn w:val="DefaultParagraphFont"/>
    <w:uiPriority w:val="99"/>
    <w:unhideWhenUsed/>
    <w:rsid w:val="0079310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3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310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31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793109"/>
  </w:style>
  <w:style w:type="paragraph" w:styleId="ListParagraph">
    <w:name w:val="List Paragraph"/>
    <w:basedOn w:val="Normal"/>
    <w:uiPriority w:val="34"/>
    <w:qFormat/>
    <w:rsid w:val="00A02BE4"/>
    <w:pPr>
      <w:ind w:left="720"/>
      <w:contextualSpacing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A0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6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22E4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41C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5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25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7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library.missouri.edu/yes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FBAE75D2BE1E4D9D31645A01A7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BEED2-91C6-EA45-AE3C-973CC4C93AD7}"/>
      </w:docPartPr>
      <w:docPartBody>
        <w:p w:rsidR="00DC0F71" w:rsidRDefault="00DC0F71" w:rsidP="00DC0F71">
          <w:pPr>
            <w:pStyle w:val="F0FBAE75D2BE1E4D9D31645A01A7B66A"/>
          </w:pPr>
          <w:r>
            <w:t>[Type the document title]</w:t>
          </w:r>
        </w:p>
      </w:docPartBody>
    </w:docPart>
    <w:docPart>
      <w:docPartPr>
        <w:name w:val="B934AA6D3BA81E49BA30A579F62F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95F7B-517C-104C-9F9E-78406518E288}"/>
      </w:docPartPr>
      <w:docPartBody>
        <w:p w:rsidR="00DC0F71" w:rsidRDefault="00DC0F71" w:rsidP="00DC0F71">
          <w:pPr>
            <w:pStyle w:val="B934AA6D3BA81E49BA30A579F62F0A68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71"/>
    <w:rsid w:val="00184067"/>
    <w:rsid w:val="0026167E"/>
    <w:rsid w:val="0097394D"/>
    <w:rsid w:val="00BD7E35"/>
    <w:rsid w:val="00C10582"/>
    <w:rsid w:val="00D641C9"/>
    <w:rsid w:val="00DC0F71"/>
    <w:rsid w:val="00E1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FBAE75D2BE1E4D9D31645A01A7B66A">
    <w:name w:val="F0FBAE75D2BE1E4D9D31645A01A7B66A"/>
    <w:rsid w:val="00DC0F71"/>
  </w:style>
  <w:style w:type="paragraph" w:customStyle="1" w:styleId="B934AA6D3BA81E49BA30A579F62F0A68">
    <w:name w:val="B934AA6D3BA81E49BA30A579F62F0A68"/>
    <w:rsid w:val="00DC0F71"/>
  </w:style>
  <w:style w:type="paragraph" w:customStyle="1" w:styleId="73020A0CE0D39146A15EA4DF57288FCE">
    <w:name w:val="73020A0CE0D39146A15EA4DF57288FCE"/>
    <w:rsid w:val="00DC0F71"/>
  </w:style>
  <w:style w:type="paragraph" w:customStyle="1" w:styleId="04CCBAD7888334479AC08B6DC785DD44">
    <w:name w:val="04CCBAD7888334479AC08B6DC785DD44"/>
    <w:rsid w:val="00DC0F71"/>
  </w:style>
  <w:style w:type="paragraph" w:customStyle="1" w:styleId="CFADED86D0F1486EB6BFFF5C22289E82">
    <w:name w:val="CFADED86D0F1486EB6BFFF5C22289E82"/>
    <w:rsid w:val="00184067"/>
    <w:pPr>
      <w:spacing w:after="160" w:line="259" w:lineRule="auto"/>
    </w:pPr>
    <w:rPr>
      <w:sz w:val="22"/>
      <w:szCs w:val="22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FBAE75D2BE1E4D9D31645A01A7B66A">
    <w:name w:val="F0FBAE75D2BE1E4D9D31645A01A7B66A"/>
    <w:rsid w:val="00DC0F71"/>
  </w:style>
  <w:style w:type="paragraph" w:customStyle="1" w:styleId="B934AA6D3BA81E49BA30A579F62F0A68">
    <w:name w:val="B934AA6D3BA81E49BA30A579F62F0A68"/>
    <w:rsid w:val="00DC0F71"/>
  </w:style>
  <w:style w:type="paragraph" w:customStyle="1" w:styleId="73020A0CE0D39146A15EA4DF57288FCE">
    <w:name w:val="73020A0CE0D39146A15EA4DF57288FCE"/>
    <w:rsid w:val="00DC0F71"/>
  </w:style>
  <w:style w:type="paragraph" w:customStyle="1" w:styleId="04CCBAD7888334479AC08B6DC785DD44">
    <w:name w:val="04CCBAD7888334479AC08B6DC785DD44"/>
    <w:rsid w:val="00DC0F71"/>
  </w:style>
  <w:style w:type="paragraph" w:customStyle="1" w:styleId="CFADED86D0F1486EB6BFFF5C22289E82">
    <w:name w:val="CFADED86D0F1486EB6BFFF5C22289E82"/>
    <w:rsid w:val="00184067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A3F58F-E784-4CC4-9734-0DE9A448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Cullina</dc:creator>
  <cp:lastModifiedBy>Noah Kat</cp:lastModifiedBy>
  <cp:revision>2</cp:revision>
  <cp:lastPrinted>2015-08-18T13:51:00Z</cp:lastPrinted>
  <dcterms:created xsi:type="dcterms:W3CDTF">2015-08-18T15:45:00Z</dcterms:created>
  <dcterms:modified xsi:type="dcterms:W3CDTF">2015-08-18T15:45:00Z</dcterms:modified>
</cp:coreProperties>
</file>